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8A" w:rsidRDefault="00242DC5" w:rsidP="00CE55E5">
      <w:pPr>
        <w:pStyle w:val="a3"/>
      </w:pPr>
      <w:r>
        <w:t>Влияние задержки выполнения анализа на показатели КЩС</w:t>
      </w:r>
    </w:p>
    <w:p w:rsidR="00CE55E5" w:rsidRPr="00CE55E5" w:rsidRDefault="00CE55E5" w:rsidP="00CE55E5">
      <w:pPr>
        <w:sectPr w:rsidR="00CE55E5" w:rsidRPr="00CE5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1CD" w:rsidRDefault="00CE55E5">
      <w:r>
        <w:lastRenderedPageBreak/>
        <w:t>Для получения достоверных данных анализ газов крови должен быть проведен как можно быстрее</w:t>
      </w:r>
      <w:r w:rsidR="00A061CD">
        <w:t xml:space="preserve"> с момента забора образца. </w:t>
      </w:r>
    </w:p>
    <w:p w:rsidR="00CE55E5" w:rsidRDefault="00A061CD">
      <w:r w:rsidRPr="00A061CD">
        <w:rPr>
          <w:b/>
          <w:i/>
        </w:rPr>
        <w:t>Оптимальное время</w:t>
      </w:r>
      <w:r>
        <w:t xml:space="preserve"> выполнения анализа </w:t>
      </w:r>
      <w:r w:rsidRPr="00A061CD">
        <w:rPr>
          <w:b/>
          <w:i/>
        </w:rPr>
        <w:t>0-10 мин</w:t>
      </w:r>
      <w:r>
        <w:t xml:space="preserve">. </w:t>
      </w:r>
      <w:r w:rsidRPr="00A061CD">
        <w:rPr>
          <w:b/>
          <w:i/>
        </w:rPr>
        <w:t>М</w:t>
      </w:r>
      <w:r w:rsidR="00CE55E5" w:rsidRPr="00A061CD">
        <w:rPr>
          <w:b/>
          <w:i/>
        </w:rPr>
        <w:t>аксимальная отсрочка</w:t>
      </w:r>
      <w:r w:rsidRPr="00A061CD">
        <w:rPr>
          <w:b/>
          <w:i/>
        </w:rPr>
        <w:t xml:space="preserve"> </w:t>
      </w:r>
      <w:r w:rsidR="00274BAB" w:rsidRPr="00274BAB">
        <w:t>(хранение при комнатной температуре)</w:t>
      </w:r>
      <w:r w:rsidR="00274BAB">
        <w:rPr>
          <w:b/>
          <w:i/>
        </w:rPr>
        <w:t xml:space="preserve"> </w:t>
      </w:r>
      <w:r w:rsidRPr="00A061CD">
        <w:rPr>
          <w:b/>
          <w:i/>
        </w:rPr>
        <w:t>-</w:t>
      </w:r>
      <w:r w:rsidR="00CE55E5" w:rsidRPr="00A061CD">
        <w:rPr>
          <w:b/>
          <w:i/>
        </w:rPr>
        <w:t xml:space="preserve"> 30 мин</w:t>
      </w:r>
      <w:r w:rsidR="00820C09">
        <w:rPr>
          <w:b/>
          <w:i/>
        </w:rPr>
        <w:t>*</w:t>
      </w:r>
      <w:r w:rsidR="00CE55E5" w:rsidRPr="00CE55E5">
        <w:t xml:space="preserve">. </w:t>
      </w:r>
      <w:r w:rsidR="00CE55E5">
        <w:t xml:space="preserve">При этом нужно помнить, что уровень </w:t>
      </w:r>
      <w:proofErr w:type="spellStart"/>
      <w:r w:rsidR="00CE55E5">
        <w:t>лактата</w:t>
      </w:r>
      <w:proofErr w:type="spellEnd"/>
      <w:r w:rsidR="00CE55E5">
        <w:t xml:space="preserve"> </w:t>
      </w:r>
      <w:r>
        <w:t>возрастает</w:t>
      </w:r>
      <w:r w:rsidR="00CE55E5">
        <w:t xml:space="preserve"> уже через </w:t>
      </w:r>
      <w:r w:rsidR="00CE55E5" w:rsidRPr="00CE55E5">
        <w:t>10 мин</w:t>
      </w:r>
      <w:r w:rsidR="00CE55E5">
        <w:t>.</w:t>
      </w:r>
    </w:p>
    <w:p w:rsidR="00274BAB" w:rsidRDefault="00274BAB" w:rsidP="00274BAB">
      <w:r>
        <w:t xml:space="preserve">Метаболизм в клетках крови продолжается </w:t>
      </w:r>
      <w:r>
        <w:rPr>
          <w:lang w:val="en-US"/>
        </w:rPr>
        <w:t>in</w:t>
      </w:r>
      <w:r w:rsidRPr="00A061CD">
        <w:t xml:space="preserve"> </w:t>
      </w:r>
      <w:r>
        <w:rPr>
          <w:lang w:val="en-US"/>
        </w:rPr>
        <w:t>vitro</w:t>
      </w:r>
      <w:r w:rsidRPr="00A061CD">
        <w:t xml:space="preserve"> </w:t>
      </w:r>
      <w:r>
        <w:t>после ее забора:</w:t>
      </w:r>
    </w:p>
    <w:p w:rsidR="00274BAB" w:rsidRPr="00092AA2" w:rsidRDefault="00274BAB" w:rsidP="00274BAB">
      <w:pPr>
        <w:numPr>
          <w:ilvl w:val="0"/>
          <w:numId w:val="1"/>
        </w:numPr>
      </w:pPr>
      <w:r w:rsidRPr="00A061CD">
        <w:rPr>
          <w:b/>
          <w:i/>
        </w:rPr>
        <w:t>Аэробный метаболизм</w:t>
      </w:r>
      <w:r w:rsidRPr="00092AA2">
        <w:t xml:space="preserve"> в лейкоцитах, тромбоцитах, </w:t>
      </w:r>
      <w:proofErr w:type="spellStart"/>
      <w:r w:rsidRPr="00092AA2">
        <w:t>ретикулоцитах</w:t>
      </w:r>
      <w:proofErr w:type="spellEnd"/>
      <w:r w:rsidRPr="00092AA2">
        <w:rPr>
          <w:i/>
          <w:iCs/>
        </w:rPr>
        <w:t xml:space="preserve"> </w:t>
      </w:r>
    </w:p>
    <w:p w:rsidR="00274BAB" w:rsidRPr="00A061CD" w:rsidRDefault="00274BAB" w:rsidP="00274BAB">
      <w:pPr>
        <w:rPr>
          <w:vertAlign w:val="subscript"/>
        </w:rPr>
      </w:pPr>
      <w:r>
        <w:rPr>
          <w:i/>
          <w:iCs/>
        </w:rPr>
        <w:t>(п</w:t>
      </w:r>
      <w:r w:rsidRPr="00092AA2">
        <w:rPr>
          <w:i/>
          <w:iCs/>
        </w:rPr>
        <w:t>отребляют кислород, глюкоз</w:t>
      </w:r>
      <w:r>
        <w:rPr>
          <w:i/>
          <w:iCs/>
        </w:rPr>
        <w:t>у, п</w:t>
      </w:r>
      <w:r w:rsidRPr="00092AA2">
        <w:rPr>
          <w:i/>
          <w:iCs/>
        </w:rPr>
        <w:t xml:space="preserve">родуцируют </w:t>
      </w:r>
      <w:r>
        <w:rPr>
          <w:i/>
          <w:iCs/>
        </w:rPr>
        <w:t xml:space="preserve">углекислый газ </w:t>
      </w:r>
      <w:r w:rsidRPr="00092AA2">
        <w:rPr>
          <w:i/>
          <w:iCs/>
        </w:rPr>
        <w:t>и</w:t>
      </w:r>
      <w:r>
        <w:rPr>
          <w:i/>
          <w:iCs/>
        </w:rPr>
        <w:t xml:space="preserve"> ионы водорода)</w:t>
      </w:r>
    </w:p>
    <w:p w:rsidR="00274BAB" w:rsidRPr="00C32503" w:rsidRDefault="00274BAB" w:rsidP="00274BAB">
      <w:pPr>
        <w:numPr>
          <w:ilvl w:val="0"/>
          <w:numId w:val="2"/>
        </w:numPr>
      </w:pPr>
      <w:r w:rsidRPr="00C32503">
        <w:rPr>
          <w:b/>
          <w:i/>
        </w:rPr>
        <w:t xml:space="preserve">Анаэробный метаболизм </w:t>
      </w:r>
      <w:r w:rsidRPr="00C32503">
        <w:t>в эритроцитах</w:t>
      </w:r>
    </w:p>
    <w:p w:rsidR="00274BAB" w:rsidRDefault="00274BAB" w:rsidP="00274BAB">
      <w:pPr>
        <w:rPr>
          <w:i/>
          <w:iCs/>
        </w:rPr>
      </w:pPr>
      <w:r>
        <w:rPr>
          <w:i/>
          <w:iCs/>
        </w:rPr>
        <w:t xml:space="preserve">(продуцируют </w:t>
      </w:r>
      <w:proofErr w:type="spellStart"/>
      <w:r>
        <w:rPr>
          <w:i/>
          <w:iCs/>
        </w:rPr>
        <w:t>лактат</w:t>
      </w:r>
      <w:proofErr w:type="spellEnd"/>
      <w:r>
        <w:rPr>
          <w:i/>
          <w:iCs/>
        </w:rPr>
        <w:t xml:space="preserve"> и ионы водорода)</w:t>
      </w:r>
    </w:p>
    <w:p w:rsidR="00A23470" w:rsidRDefault="00A23470" w:rsidP="00A23470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Уровень </w:t>
      </w:r>
      <w:proofErr w:type="spellStart"/>
      <w:r>
        <w:rPr>
          <w:i/>
          <w:iCs/>
        </w:rPr>
        <w:t>лактата</w:t>
      </w:r>
      <w:proofErr w:type="spellEnd"/>
      <w:r>
        <w:rPr>
          <w:i/>
          <w:iCs/>
        </w:rPr>
        <w:t xml:space="preserve"> у</w:t>
      </w:r>
      <w:r w:rsidRPr="00704B5F">
        <w:rPr>
          <w:i/>
          <w:iCs/>
        </w:rPr>
        <w:t xml:space="preserve">величивается </w:t>
      </w:r>
      <w:r>
        <w:rPr>
          <w:i/>
          <w:iCs/>
        </w:rPr>
        <w:t xml:space="preserve">на </w:t>
      </w:r>
      <w:r w:rsidRPr="00704B5F">
        <w:rPr>
          <w:i/>
          <w:iCs/>
        </w:rPr>
        <w:t xml:space="preserve">0,5 </w:t>
      </w:r>
      <w:proofErr w:type="spellStart"/>
      <w:r w:rsidRPr="00704B5F">
        <w:rPr>
          <w:i/>
          <w:iCs/>
        </w:rPr>
        <w:t>ммоль</w:t>
      </w:r>
      <w:proofErr w:type="spellEnd"/>
      <w:r w:rsidRPr="00704B5F">
        <w:rPr>
          <w:i/>
          <w:iCs/>
        </w:rPr>
        <w:t>/л в час</w:t>
      </w:r>
    </w:p>
    <w:p w:rsidR="00A23470" w:rsidRPr="00A23470" w:rsidRDefault="00A23470" w:rsidP="00A23470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>Уровень глюкозы у</w:t>
      </w:r>
      <w:r w:rsidR="006736DD">
        <w:rPr>
          <w:i/>
          <w:iCs/>
        </w:rPr>
        <w:t>меньшается</w:t>
      </w:r>
      <w:r>
        <w:rPr>
          <w:i/>
          <w:iCs/>
        </w:rPr>
        <w:t xml:space="preserve"> </w:t>
      </w:r>
      <w:r w:rsidRPr="00704B5F">
        <w:rPr>
          <w:i/>
          <w:iCs/>
        </w:rPr>
        <w:t>на</w:t>
      </w:r>
      <w:r w:rsidR="006736DD">
        <w:rPr>
          <w:i/>
          <w:iCs/>
        </w:rPr>
        <w:t xml:space="preserve"> 0,5</w:t>
      </w:r>
      <w:r w:rsidRPr="00704B5F">
        <w:rPr>
          <w:i/>
          <w:iCs/>
        </w:rPr>
        <w:t xml:space="preserve"> </w:t>
      </w:r>
      <w:proofErr w:type="spellStart"/>
      <w:r w:rsidR="006736DD" w:rsidRPr="00704B5F">
        <w:rPr>
          <w:i/>
          <w:iCs/>
        </w:rPr>
        <w:t>ммоль</w:t>
      </w:r>
      <w:proofErr w:type="spellEnd"/>
      <w:r w:rsidR="006736DD" w:rsidRPr="00704B5F">
        <w:rPr>
          <w:i/>
          <w:iCs/>
        </w:rPr>
        <w:t xml:space="preserve">/л </w:t>
      </w:r>
      <w:r w:rsidRPr="00704B5F">
        <w:rPr>
          <w:i/>
          <w:iCs/>
        </w:rPr>
        <w:t>в час</w:t>
      </w:r>
    </w:p>
    <w:p w:rsidR="00A061CD" w:rsidRDefault="00A061CD"/>
    <w:p w:rsidR="00A061CD" w:rsidRPr="00A061CD" w:rsidRDefault="00A061CD"/>
    <w:p w:rsidR="00CE55E5" w:rsidRDefault="00CE55E5"/>
    <w:tbl>
      <w:tblPr>
        <w:tblStyle w:val="a7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6"/>
        <w:gridCol w:w="5070"/>
      </w:tblGrid>
      <w:tr w:rsidR="005A168A" w:rsidTr="00CE55E5">
        <w:trPr>
          <w:trHeight w:val="2957"/>
        </w:trPr>
        <w:tc>
          <w:tcPr>
            <w:tcW w:w="4386" w:type="dxa"/>
          </w:tcPr>
          <w:p w:rsidR="005A168A" w:rsidRDefault="005A168A">
            <w:r w:rsidRPr="005A168A">
              <w:rPr>
                <w:noProof/>
              </w:rPr>
              <w:drawing>
                <wp:inline distT="0" distB="0" distL="0" distR="0">
                  <wp:extent cx="2628900" cy="1981200"/>
                  <wp:effectExtent l="19050" t="0" r="0" b="0"/>
                  <wp:docPr id="14" name="Рисунок 14" descr="anarobic-metabolis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26" name="Picture 13" descr="anarobic-metabol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648" cy="1982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:rsidR="005A168A" w:rsidRDefault="00770FDC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3.8pt;margin-top:180.1pt;width:.05pt;height:25.5pt;flip:y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3.85pt;margin-top:106.6pt;width:.05pt;height:25.5pt;flip:y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3.8pt;margin-top:33.85pt;width:.05pt;height:25.5pt;flip:y;z-index:251661312;mso-position-horizontal-relative:text;mso-position-vertical-relative:text" o:connectortype="straight">
                  <v:stroke endarrow="block"/>
                </v:shape>
              </w:pict>
            </w:r>
            <w:r w:rsidRPr="00770FDC">
              <w:rPr>
                <w:noProof/>
                <w:sz w:val="18"/>
              </w:rPr>
              <w:pict>
                <v:shape id="_x0000_s1027" type="#_x0000_t32" style="position:absolute;margin-left:3.8pt;margin-top:71.35pt;width:0;height:24.75pt;z-index:251659264;mso-position-horizontal-relative:text;mso-position-vertical-relative:text" o:connectortype="straight">
                  <v:stroke endarrow="block"/>
                </v:shape>
              </w:pict>
            </w:r>
            <w:r w:rsidRPr="00770FDC">
              <w:rPr>
                <w:noProof/>
                <w:sz w:val="18"/>
              </w:rPr>
              <w:pict>
                <v:shape id="_x0000_s1028" type="#_x0000_t32" style="position:absolute;margin-left:3.8pt;margin-top:145.6pt;width:0;height:24.75pt;z-index:251660288;mso-position-horizontal-relative:text;mso-position-vertical-relative:text" o:connectortype="straight">
                  <v:stroke endarrow="block"/>
                </v:shape>
              </w:pict>
            </w:r>
            <w:r w:rsidRPr="00770FDC">
              <w:rPr>
                <w:noProof/>
                <w:sz w:val="18"/>
              </w:rPr>
              <w:pict>
                <v:shape id="_x0000_s1026" type="#_x0000_t32" style="position:absolute;margin-left:3.8pt;margin-top:.85pt;width:0;height:24.75pt;z-index:251658240;mso-position-horizontal-relative:text;mso-position-vertical-relative:text" o:connectortype="straight">
                  <v:stroke endarrow="block"/>
                </v:shape>
              </w:pict>
            </w:r>
            <w:r w:rsidR="005A168A" w:rsidRPr="005A168A">
              <w:rPr>
                <w:noProof/>
                <w:sz w:val="18"/>
              </w:rPr>
              <w:drawing>
                <wp:inline distT="0" distB="0" distL="0" distR="0">
                  <wp:extent cx="3038475" cy="2838450"/>
                  <wp:effectExtent l="0" t="0" r="0" b="0"/>
                  <wp:docPr id="16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483100" cy="5729288"/>
                            <a:chOff x="4356100" y="1371600"/>
                            <a:chExt cx="4483100" cy="5729288"/>
                          </a:xfrm>
                        </a:grpSpPr>
                        <a:sp>
                          <a:nvSpPr>
                            <a:cNvPr id="418818" name="Rectangle 2"/>
                            <a:cNvSpPr>
                              <a:spLocks noGrp="1" noChangeArrowheads="1"/>
                            </a:cNvSpPr>
                          </a:nvSpPr>
                          <a:spPr>
                            <a:xfrm>
                              <a:off x="4356100" y="1371600"/>
                              <a:ext cx="4483100" cy="5729288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="horz" lIns="91440" tIns="45720" rIns="91440" bIns="45720" rtlCol="0">
                                <a:normAutofit/>
                              </a:bodyPr>
                              <a:lstStyle>
                                <a:lvl1pPr marL="342900" indent="-3429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32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»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r>
                                  <a:rPr lang="en-US" sz="2000" i="1" dirty="0"/>
                                  <a:t>p</a:t>
                                </a:r>
                                <a:r>
                                  <a:rPr lang="en-US" sz="2000" dirty="0"/>
                                  <a:t>O</a:t>
                                </a:r>
                                <a:r>
                                  <a:rPr lang="en-US" sz="2000" baseline="-25000" dirty="0"/>
                                  <a:t>2</a:t>
                                </a:r>
                                <a:r>
                                  <a:rPr lang="en-US" sz="2000" dirty="0"/>
                                  <a:t>	</a:t>
                                </a:r>
                                <a:r>
                                  <a:rPr lang="ru-RU" sz="2000" dirty="0" smtClean="0"/>
                                  <a:t>так как кислород еще не    полностью израсходован</a:t>
                                </a:r>
                                <a:endParaRPr lang="en-US" sz="2000" dirty="0"/>
                              </a:p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endParaRPr lang="en-US" sz="2000" dirty="0"/>
                              </a:p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r>
                                  <a:rPr lang="en-US" sz="2000" i="1" dirty="0"/>
                                  <a:t>p</a:t>
                                </a:r>
                                <a:r>
                                  <a:rPr lang="en-US" sz="2000" dirty="0"/>
                                  <a:t>CO</a:t>
                                </a:r>
                                <a:r>
                                  <a:rPr lang="en-US" sz="2000" baseline="-25000" dirty="0"/>
                                  <a:t>2</a:t>
                                </a:r>
                                <a:r>
                                  <a:rPr lang="en-US" sz="2000" dirty="0"/>
                                  <a:t>	</a:t>
                                </a:r>
                                <a:r>
                                  <a:rPr lang="ru-RU" sz="2000" dirty="0" smtClean="0"/>
                                  <a:t>так как </a:t>
                                </a:r>
                                <a:r>
                                  <a:rPr lang="en-US" sz="2000" dirty="0" smtClean="0"/>
                                  <a:t>CO2 </a:t>
                                </a:r>
                                <a:r>
                                  <a:rPr lang="ru-RU" sz="2000" dirty="0" smtClean="0"/>
                                  <a:t>все еще производится</a:t>
                                </a:r>
                                <a:endParaRPr lang="en-US" sz="2000" dirty="0"/>
                              </a:p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endParaRPr lang="en-US" sz="2000" dirty="0"/>
                              </a:p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r>
                                  <a:rPr lang="en-US" sz="2000" dirty="0"/>
                                  <a:t>pH	</a:t>
                                </a:r>
                                <a:r>
                                  <a:rPr lang="ru-RU" sz="2000" dirty="0" smtClean="0"/>
                                  <a:t>в основном за счет изменений </a:t>
                                </a:r>
                                <a:r>
                                  <a:rPr lang="en-US" sz="2000" i="1" dirty="0" smtClean="0"/>
                                  <a:t>p</a:t>
                                </a:r>
                                <a:r>
                                  <a:rPr lang="en-US" sz="2000" dirty="0" smtClean="0"/>
                                  <a:t>CO</a:t>
                                </a:r>
                                <a:r>
                                  <a:rPr lang="en-US" sz="2000" baseline="-25000" dirty="0" smtClean="0"/>
                                  <a:t>2</a:t>
                                </a:r>
                                <a:r>
                                  <a:rPr lang="en-US" sz="2000" dirty="0" smtClean="0"/>
                                  <a:t> </a:t>
                                </a:r>
                                <a:r>
                                  <a:rPr lang="ru-RU" sz="2000" dirty="0" smtClean="0"/>
                                  <a:t>и гликолиза</a:t>
                                </a:r>
                                <a:endParaRPr lang="en-US" sz="2000" dirty="0"/>
                              </a:p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endParaRPr lang="en-US" sz="2000" dirty="0"/>
                              </a:p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r>
                                  <a:rPr lang="en-US" sz="2000" i="1" dirty="0"/>
                                  <a:t>c</a:t>
                                </a:r>
                                <a:r>
                                  <a:rPr lang="en-US" sz="2000" dirty="0"/>
                                  <a:t>Ca</a:t>
                                </a:r>
                                <a:r>
                                  <a:rPr lang="en-US" sz="2000" baseline="30000" dirty="0"/>
                                  <a:t>2+</a:t>
                                </a:r>
                                <a:r>
                                  <a:rPr lang="en-US" sz="2000" dirty="0"/>
                                  <a:t>	</a:t>
                                </a:r>
                                <a:r>
                                  <a:rPr lang="ru-RU" sz="2000" dirty="0" smtClean="0"/>
                                  <a:t>так как изменение </a:t>
                                </a:r>
                                <a:r>
                                  <a:rPr lang="ru-RU" sz="2000" dirty="0" err="1" smtClean="0"/>
                                  <a:t>рН</a:t>
                                </a:r>
                                <a:r>
                                  <a:rPr lang="ru-RU" sz="2000" dirty="0" smtClean="0"/>
                                  <a:t> будет влиять на связывание </a:t>
                                </a:r>
                                <a:r>
                                  <a:rPr lang="en-US" sz="2000" dirty="0" smtClean="0"/>
                                  <a:t>Ca</a:t>
                                </a:r>
                                <a:r>
                                  <a:rPr lang="en-US" sz="2000" baseline="30000" dirty="0" smtClean="0"/>
                                  <a:t>2+</a:t>
                                </a:r>
                                <a:r>
                                  <a:rPr lang="ru-RU" sz="2000" baseline="30000" dirty="0" smtClean="0"/>
                                  <a:t> </a:t>
                                </a:r>
                                <a:r>
                                  <a:rPr lang="ru-RU" sz="2000" dirty="0" smtClean="0"/>
                                  <a:t> с белком</a:t>
                                </a:r>
                                <a:endParaRPr lang="en-US" sz="2000" dirty="0"/>
                              </a:p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endParaRPr lang="en-US" sz="2000" dirty="0"/>
                              </a:p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r>
                                  <a:rPr lang="en-US" sz="2000" i="1" dirty="0" err="1"/>
                                  <a:t>c</a:t>
                                </a:r>
                                <a:r>
                                  <a:rPr lang="en-US" sz="2000" dirty="0" err="1"/>
                                  <a:t>Glu</a:t>
                                </a:r>
                                <a:r>
                                  <a:rPr lang="en-US" sz="2000" dirty="0"/>
                                  <a:t>	</a:t>
                                </a:r>
                                <a:r>
                                  <a:rPr lang="ru-RU" sz="2000" dirty="0" smtClean="0"/>
                                  <a:t>так как глюкоза будет усваиваться</a:t>
                                </a:r>
                                <a:endParaRPr lang="en-US" sz="2000" dirty="0"/>
                              </a:p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endParaRPr lang="en-US" sz="2000" dirty="0"/>
                              </a:p>
                              <a:p>
                                <a:pPr marL="284163" indent="-284163" defTabSz="758825">
                                  <a:lnSpc>
                                    <a:spcPct val="90000"/>
                                  </a:lnSpc>
                                  <a:buFont typeface="Wingdings" pitchFamily="2" charset="2"/>
                                  <a:buNone/>
                                </a:pPr>
                                <a:r>
                                  <a:rPr lang="en-US" sz="2000" i="1" dirty="0" err="1"/>
                                  <a:t>c</a:t>
                                </a:r>
                                <a:r>
                                  <a:rPr lang="en-US" sz="2000" dirty="0" err="1"/>
                                  <a:t>Lac</a:t>
                                </a:r>
                                <a:r>
                                  <a:rPr lang="en-US" sz="2000" dirty="0"/>
                                  <a:t>	</a:t>
                                </a:r>
                                <a:r>
                                  <a:rPr lang="ru-RU" sz="2000" dirty="0" smtClean="0"/>
                                  <a:t>из-за гликолиза</a:t>
                                </a:r>
                                <a:endParaRPr lang="en-US" sz="20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5A168A" w:rsidRPr="00820C09" w:rsidRDefault="005A168A">
      <w:pPr>
        <w:rPr>
          <w:sz w:val="24"/>
        </w:rPr>
      </w:pPr>
    </w:p>
    <w:p w:rsidR="00307824" w:rsidRPr="00820C09" w:rsidRDefault="00820C09">
      <w:pPr>
        <w:rPr>
          <w:sz w:val="24"/>
          <w:lang w:val="en-US"/>
        </w:rPr>
      </w:pPr>
      <w:r w:rsidRPr="00820C09">
        <w:rPr>
          <w:i/>
          <w:iCs/>
          <w:lang w:val="en-US"/>
        </w:rPr>
        <w:t xml:space="preserve">*CLSI document H11-A4, </w:t>
      </w:r>
      <w:proofErr w:type="spellStart"/>
      <w:r w:rsidRPr="00820C09">
        <w:rPr>
          <w:i/>
          <w:iCs/>
          <w:lang w:val="en-US"/>
        </w:rPr>
        <w:t>Vol</w:t>
      </w:r>
      <w:proofErr w:type="spellEnd"/>
      <w:r w:rsidRPr="00820C09">
        <w:rPr>
          <w:i/>
          <w:iCs/>
          <w:lang w:val="en-US"/>
        </w:rPr>
        <w:t xml:space="preserve"> 24 No 28. Procedures for the Collection of Arterial Blood Specimens</w:t>
      </w:r>
    </w:p>
    <w:sectPr w:rsidR="00307824" w:rsidRPr="00820C09" w:rsidSect="005A16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2A27"/>
    <w:multiLevelType w:val="hybridMultilevel"/>
    <w:tmpl w:val="C242DF7C"/>
    <w:lvl w:ilvl="0" w:tplc="1B1C4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6C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E7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81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6F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C6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E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EC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A2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0C11E4"/>
    <w:multiLevelType w:val="hybridMultilevel"/>
    <w:tmpl w:val="F54AB412"/>
    <w:lvl w:ilvl="0" w:tplc="92A6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0B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2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E7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48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A7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A4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4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6E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E63BE7"/>
    <w:multiLevelType w:val="hybridMultilevel"/>
    <w:tmpl w:val="AF5E5DA4"/>
    <w:lvl w:ilvl="0" w:tplc="D4CAD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09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C3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AC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4A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E2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EA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4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B6260E"/>
    <w:multiLevelType w:val="hybridMultilevel"/>
    <w:tmpl w:val="25A0B77E"/>
    <w:lvl w:ilvl="0" w:tplc="D3261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83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CE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07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0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68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2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A5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EF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DC5"/>
    <w:rsid w:val="00092AA2"/>
    <w:rsid w:val="001D6171"/>
    <w:rsid w:val="00242DC5"/>
    <w:rsid w:val="00274BAB"/>
    <w:rsid w:val="00307824"/>
    <w:rsid w:val="005A168A"/>
    <w:rsid w:val="006736DD"/>
    <w:rsid w:val="00704B5F"/>
    <w:rsid w:val="00770FDC"/>
    <w:rsid w:val="00820C09"/>
    <w:rsid w:val="00A061CD"/>
    <w:rsid w:val="00A23470"/>
    <w:rsid w:val="00A95D07"/>
    <w:rsid w:val="00B90BD6"/>
    <w:rsid w:val="00C32503"/>
    <w:rsid w:val="00CE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8"/>
        <o:r id="V:Rule10" type="connector" idref="#_x0000_s1029"/>
        <o:r id="V:Rule11" type="connector" idref="#_x0000_s1026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2D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2D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A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6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1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1D6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D6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2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8EAD-A070-4099-B675-648D528A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9</cp:revision>
  <dcterms:created xsi:type="dcterms:W3CDTF">2014-08-04T10:30:00Z</dcterms:created>
  <dcterms:modified xsi:type="dcterms:W3CDTF">2014-08-14T05:23:00Z</dcterms:modified>
</cp:coreProperties>
</file>